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6099BA87" w14:textId="25E8FA61" w:rsidR="00C65C7C" w:rsidRPr="00BA54E4" w:rsidRDefault="002C7092" w:rsidP="00FD71A1">
      <w:pPr>
        <w:spacing w:line="276" w:lineRule="auto"/>
        <w:jc w:val="both"/>
        <w:rPr>
          <w:rFonts w:ascii="Garamond" w:hAnsi="Garamond"/>
          <w:sz w:val="36"/>
          <w:szCs w:val="36"/>
        </w:rPr>
      </w:pPr>
      <w:r w:rsidRPr="00FD71A1">
        <w:rPr>
          <w:rFonts w:ascii="Modern Love" w:hAnsi="Modern Love"/>
          <w:noProof/>
          <w:sz w:val="32"/>
          <w:szCs w:val="32"/>
        </w:rPr>
        <mc:AlternateContent>
          <mc:Choice Requires="wps">
            <w:drawing>
              <wp:anchor distT="0" distB="0" distL="114300" distR="114300" simplePos="0" relativeHeight="251657215" behindDoc="1" locked="0" layoutInCell="1" allowOverlap="1" wp14:anchorId="05DB1E40" wp14:editId="29F7BEDD">
                <wp:simplePos x="0" y="0"/>
                <wp:positionH relativeFrom="page">
                  <wp:posOffset>41275</wp:posOffset>
                </wp:positionH>
                <wp:positionV relativeFrom="paragraph">
                  <wp:posOffset>-600710</wp:posOffset>
                </wp:positionV>
                <wp:extent cx="7479030" cy="10604598"/>
                <wp:effectExtent l="38100" t="38100" r="45720" b="44450"/>
                <wp:wrapNone/>
                <wp:docPr id="2" name="Rechteck 2"/>
                <wp:cNvGraphicFramePr/>
                <a:graphic xmlns:a="http://schemas.openxmlformats.org/drawingml/2006/main">
                  <a:graphicData uri="http://schemas.microsoft.com/office/word/2010/wordprocessingShape">
                    <wps:wsp>
                      <wps:cNvSpPr/>
                      <wps:spPr>
                        <a:xfrm>
                          <a:off x="0" y="0"/>
                          <a:ext cx="7479030" cy="10604598"/>
                        </a:xfrm>
                        <a:prstGeom prst="rect">
                          <a:avLst/>
                        </a:prstGeom>
                        <a:solidFill>
                          <a:schemeClr val="bg1">
                            <a:lumMod val="95000"/>
                          </a:schemeClr>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B94D2" id="Rechteck 2" o:spid="_x0000_s1026" style="position:absolute;margin-left:3.25pt;margin-top:-47.3pt;width:588.9pt;height:83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ZRrQIAANsFAAAOAAAAZHJzL2Uyb0RvYy54bWysVE1v2zAMvQ/YfxB0X21n6UeCOkXQosOA&#10;rg3aDj0rshQbk0RNUuJkv36U7LhpF+ww7GKLIvlIPpG8vNpqRTbC+QZMSYuTnBJhOFSNWZX0+/Pt&#10;pwtKfGCmYgqMKOlOeHo1+/jhsrVTMYIaVCUcQRDjp60taR2CnWaZ57XQzJ+AFQaVEpxmAUW3yirH&#10;WkTXKhvl+VnWgqusAy68x9ubTklnCV9KwcODlF4EokqKuYX0dem7jN9sdsmmK8ds3fA+DfYPWWjW&#10;GAw6QN2wwMjaNX9A6YY78CDDCQedgZQNF6kGrKbI31XzVDMrUi1IjrcDTf7/wfL7zcKRpirpiBLD&#10;ND7Ro+B1EPwHGUV2WuunaPRkF66XPB5jqVvpdPxjEWSbGN0NjIptIBwvz8fnk/wzEs9RV+Rn+fh0&#10;chFhs1d/63z4IkCTeCipwzdLVLLNnQ+d6d4khvOgmuq2USoJsU/EtXJkw/CFl6siuaq1/gZVdzc5&#10;zfP0zhgytVU0Twm8QVKGtJjvGTZVgnijHPw6yLAt+hoOrBBeGcSNhHUUpVPYKREzVeZRSCQaSRl1&#10;Ad6mzjgXJnTp+5pVogsVkz+efQKMyBK5GLB7gOPYHZm9fXQVaUIG577yvzkPHikymDA468aAO1aZ&#10;wqr6yJ39nqSOmsjSEqodtqGDbj695bcNNsMd82HBHA4kdhAumfCAH6kAHwr6EyU1uF/H7qM9zglq&#10;KWlxwEvqf66ZE5SorwYnaFKMx3EjJGF8ej5CwR1qlocas9bXgB1W4DqzPB2jfVD7o3SgX3AXzWNU&#10;VDHDMXZJeXB74Tp0iwe3GRfzeTLDLWBZuDNPlkfwyGps9uftC3O2n4iA03QP+2XApu8Go7ONngbm&#10;6wCySVPzymvPN26Q1Pb9tosr6lBOVq87efYbAAD//wMAUEsDBBQABgAIAAAAIQAUo7IC4AAAAAsB&#10;AAAPAAAAZHJzL2Rvd25yZXYueG1sTI/BTsMwEETvSPyDtUjcWqc0CWmIUwESR6hoUc9OvE0i4nVk&#10;u63p1+Oe4DarGc28rdZBj+yE1g2GBCzmCTCk1qiBOgFfu7dZAcx5SUqOhlDADzpY17c3lSyVOdMn&#10;nra+Y7GEXCkF9N5PJeeu7VFLNzcTUvQOxmrp42k7rqw8x3I98ockybmWA8WFXk742mP7vT1qAS97&#10;asJyo8cimObycZh29t1ehLi/C89PwDwG/xeGK35EhzoyNeZIyrFRQJ7FoIDZKs2BXf1FkS6BNVFl&#10;j1kKvK74/x/qXwAAAP//AwBQSwECLQAUAAYACAAAACEAtoM4kv4AAADhAQAAEwAAAAAAAAAAAAAA&#10;AAAAAAAAW0NvbnRlbnRfVHlwZXNdLnhtbFBLAQItABQABgAIAAAAIQA4/SH/1gAAAJQBAAALAAAA&#10;AAAAAAAAAAAAAC8BAABfcmVscy8ucmVsc1BLAQItABQABgAIAAAAIQBUZmZRrQIAANsFAAAOAAAA&#10;AAAAAAAAAAAAAC4CAABkcnMvZTJvRG9jLnhtbFBLAQItABQABgAIAAAAIQAUo7IC4AAAAAsBAAAP&#10;AAAAAAAAAAAAAAAAAAcFAABkcnMvZG93bnJldi54bWxQSwUGAAAAAAQABADzAAAAFAYAAAAA&#10;" fillcolor="#f2f2f2 [3052]" strokecolor="black [3213]" strokeweight="6pt">
                <w10:wrap anchorx="page"/>
              </v:rect>
            </w:pict>
          </mc:Fallback>
        </mc:AlternateContent>
      </w:r>
      <w:r w:rsidR="00C65F39" w:rsidRPr="00CD0533">
        <w:rPr>
          <w:rFonts w:ascii="Garamond" w:hAnsi="Garamond"/>
          <w:noProof/>
          <w:sz w:val="22"/>
          <w:szCs w:val="22"/>
        </w:rPr>
        <mc:AlternateContent>
          <mc:Choice Requires="wps">
            <w:drawing>
              <wp:anchor distT="91440" distB="91440" distL="114300" distR="114300" simplePos="0" relativeHeight="251660288" behindDoc="1" locked="0" layoutInCell="1" allowOverlap="1" wp14:anchorId="03992657" wp14:editId="55DE07D2">
                <wp:simplePos x="0" y="0"/>
                <wp:positionH relativeFrom="margin">
                  <wp:posOffset>-102870</wp:posOffset>
                </wp:positionH>
                <wp:positionV relativeFrom="paragraph">
                  <wp:posOffset>650240</wp:posOffset>
                </wp:positionV>
                <wp:extent cx="6616700" cy="720000"/>
                <wp:effectExtent l="0" t="0" r="0" b="4445"/>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20000"/>
                        </a:xfrm>
                        <a:prstGeom prst="rect">
                          <a:avLst/>
                        </a:prstGeom>
                        <a:noFill/>
                        <a:ln w="9525">
                          <a:noFill/>
                          <a:miter lim="800000"/>
                          <a:headEnd/>
                          <a:tailEnd/>
                        </a:ln>
                      </wps:spPr>
                      <wps:txbx>
                        <w:txbxContent>
                          <w:p w14:paraId="293F775E" w14:textId="4CDF1511" w:rsidR="00FC4C81" w:rsidRPr="006C5942" w:rsidRDefault="002D28BA">
                            <w:pPr>
                              <w:pBdr>
                                <w:top w:val="single" w:sz="24" w:space="8" w:color="4472C4" w:themeColor="accent1"/>
                                <w:bottom w:val="single" w:sz="24" w:space="8" w:color="4472C4" w:themeColor="accent1"/>
                              </w:pBdr>
                              <w:rPr>
                                <w:rFonts w:ascii="Garamond" w:hAnsi="Garamond"/>
                                <w:b/>
                                <w:bCs/>
                                <w:color w:val="1F3864" w:themeColor="accent1" w:themeShade="80"/>
                              </w:rPr>
                            </w:pPr>
                            <w:r>
                              <w:rPr>
                                <w:rFonts w:ascii="Garamond" w:hAnsi="Garamond"/>
                                <w:b/>
                                <w:bCs/>
                                <w:color w:val="1F3864" w:themeColor="accent1" w:themeShade="80"/>
                              </w:rPr>
                              <w:t>Dolus eventualis oder bewusste Fahrlässigkeit</w:t>
                            </w:r>
                          </w:p>
                          <w:p w14:paraId="6C9EF471" w14:textId="2FC1F0A2" w:rsidR="005948A9" w:rsidRPr="002D28BA" w:rsidRDefault="006C5942" w:rsidP="006C5942">
                            <w:pPr>
                              <w:pBdr>
                                <w:top w:val="single" w:sz="24" w:space="8" w:color="4472C4" w:themeColor="accent1"/>
                                <w:bottom w:val="single" w:sz="24" w:space="8" w:color="4472C4" w:themeColor="accent1"/>
                              </w:pBdr>
                              <w:rPr>
                                <w:rFonts w:ascii="Garamond" w:hAnsi="Garamond"/>
                                <w:color w:val="1F3864" w:themeColor="accent1" w:themeShade="80"/>
                              </w:rPr>
                            </w:pPr>
                            <w:r w:rsidRPr="002D28BA">
                              <w:rPr>
                                <w:rFonts w:ascii="Garamond" w:hAnsi="Garamond"/>
                                <w:color w:val="1F3864" w:themeColor="accent1" w:themeShade="80"/>
                              </w:rPr>
                              <w:t xml:space="preserve">BGH, </w:t>
                            </w:r>
                            <w:r w:rsidR="002D28BA">
                              <w:rPr>
                                <w:rFonts w:ascii="Garamond" w:hAnsi="Garamond"/>
                                <w:color w:val="1F3864" w:themeColor="accent1" w:themeShade="80"/>
                              </w:rPr>
                              <w:t>Beschl</w:t>
                            </w:r>
                            <w:r w:rsidRPr="002D28BA">
                              <w:rPr>
                                <w:rFonts w:ascii="Garamond" w:hAnsi="Garamond"/>
                                <w:color w:val="1F3864" w:themeColor="accent1" w:themeShade="80"/>
                              </w:rPr>
                              <w:t xml:space="preserve">. v. </w:t>
                            </w:r>
                            <w:r w:rsidR="002D28BA">
                              <w:rPr>
                                <w:rFonts w:ascii="Garamond" w:hAnsi="Garamond"/>
                                <w:color w:val="1F3864" w:themeColor="accent1" w:themeShade="80"/>
                              </w:rPr>
                              <w:t>05</w:t>
                            </w:r>
                            <w:r w:rsidRPr="002D28BA">
                              <w:rPr>
                                <w:rFonts w:ascii="Garamond" w:hAnsi="Garamond"/>
                                <w:color w:val="1F3864" w:themeColor="accent1" w:themeShade="80"/>
                              </w:rPr>
                              <w:t>.0</w:t>
                            </w:r>
                            <w:r w:rsidR="002D28BA">
                              <w:rPr>
                                <w:rFonts w:ascii="Garamond" w:hAnsi="Garamond"/>
                                <w:color w:val="1F3864" w:themeColor="accent1" w:themeShade="80"/>
                              </w:rPr>
                              <w:t>9</w:t>
                            </w:r>
                            <w:r w:rsidRPr="002D28BA">
                              <w:rPr>
                                <w:rFonts w:ascii="Garamond" w:hAnsi="Garamond"/>
                                <w:color w:val="1F3864" w:themeColor="accent1" w:themeShade="80"/>
                              </w:rPr>
                              <w:t>.202</w:t>
                            </w:r>
                            <w:r w:rsidR="002D28BA">
                              <w:rPr>
                                <w:rFonts w:ascii="Garamond" w:hAnsi="Garamond"/>
                                <w:color w:val="1F3864" w:themeColor="accent1" w:themeShade="80"/>
                              </w:rPr>
                              <w:t>4</w:t>
                            </w:r>
                            <w:r w:rsidRPr="002D28BA">
                              <w:rPr>
                                <w:rFonts w:ascii="Garamond" w:hAnsi="Garamond"/>
                                <w:color w:val="1F3864" w:themeColor="accent1" w:themeShade="80"/>
                              </w:rPr>
                              <w:t xml:space="preserve"> – </w:t>
                            </w:r>
                            <w:r w:rsidR="002D28BA">
                              <w:rPr>
                                <w:rFonts w:ascii="Garamond" w:hAnsi="Garamond"/>
                                <w:color w:val="1F3864" w:themeColor="accent1" w:themeShade="80"/>
                              </w:rPr>
                              <w:t>6</w:t>
                            </w:r>
                            <w:r w:rsidRPr="002D28BA">
                              <w:rPr>
                                <w:rFonts w:ascii="Garamond" w:hAnsi="Garamond"/>
                                <w:color w:val="1F3864" w:themeColor="accent1" w:themeShade="80"/>
                              </w:rPr>
                              <w:t xml:space="preserve"> </w:t>
                            </w:r>
                            <w:proofErr w:type="spellStart"/>
                            <w:r w:rsidRPr="002D28BA">
                              <w:rPr>
                                <w:rFonts w:ascii="Garamond" w:hAnsi="Garamond"/>
                                <w:color w:val="1F3864" w:themeColor="accent1" w:themeShade="80"/>
                              </w:rPr>
                              <w:t>StR</w:t>
                            </w:r>
                            <w:proofErr w:type="spellEnd"/>
                            <w:r w:rsidRPr="002D28BA">
                              <w:rPr>
                                <w:rFonts w:ascii="Garamond" w:hAnsi="Garamond"/>
                                <w:color w:val="1F3864" w:themeColor="accent1" w:themeShade="80"/>
                              </w:rPr>
                              <w:t xml:space="preserve"> 3</w:t>
                            </w:r>
                            <w:r w:rsidR="002D28BA">
                              <w:rPr>
                                <w:rFonts w:ascii="Garamond" w:hAnsi="Garamond"/>
                                <w:color w:val="1F3864" w:themeColor="accent1" w:themeShade="80"/>
                              </w:rPr>
                              <w:t>40</w:t>
                            </w:r>
                            <w:r w:rsidRPr="002D28BA">
                              <w:rPr>
                                <w:rFonts w:ascii="Garamond" w:hAnsi="Garamond"/>
                                <w:color w:val="1F3864" w:themeColor="accent1" w:themeShade="80"/>
                              </w:rPr>
                              <w:t>/</w:t>
                            </w:r>
                            <w:r w:rsidR="002D28BA">
                              <w:rPr>
                                <w:rFonts w:ascii="Garamond" w:hAnsi="Garamond"/>
                                <w:color w:val="1F3864" w:themeColor="accent1" w:themeShade="80"/>
                              </w:rPr>
                              <w:t>24</w:t>
                            </w:r>
                            <w:r w:rsidRPr="002D28BA">
                              <w:rPr>
                                <w:rFonts w:ascii="Garamond" w:hAnsi="Garamond"/>
                                <w:color w:val="1F3864" w:themeColor="accent1" w:themeShade="80"/>
                              </w:rPr>
                              <w:t xml:space="preserve">, BeckRS 2024, </w:t>
                            </w:r>
                            <w:r w:rsidR="002D28BA">
                              <w:rPr>
                                <w:rFonts w:ascii="Garamond" w:hAnsi="Garamond"/>
                                <w:color w:val="1F3864" w:themeColor="accent1" w:themeShade="80"/>
                              </w:rPr>
                              <w:t>24759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92657" id="_x0000_t202" coordsize="21600,21600" o:spt="202" path="m,l,21600r21600,l21600,xe">
                <v:stroke joinstyle="miter"/>
                <v:path gradientshapeok="t" o:connecttype="rect"/>
              </v:shapetype>
              <v:shape id="Textfeld 2" o:spid="_x0000_s1026" type="#_x0000_t202" style="position:absolute;left:0;text-align:left;margin-left:-8.1pt;margin-top:51.2pt;width:521pt;height:56.7pt;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DUCgIAAPQDAAAOAAAAZHJzL2Uyb0RvYy54bWysU9tuGyEQfa/Uf0C817t2bSdZGUdp0lSV&#10;0ouU9AMwsF5UYChg77pfn4F1HKt9q/qCBmbmzJwzw+p6sIbsVYgaHKPTSU2JcgKkdltGfzzdv7uk&#10;JCbuJDfgFKMHFen1+u2bVe8bNYMOjFSBIIiLTe8Z7VLyTVVF0SnL4wS8cuhsIVie8Bq2lQy8R3Rr&#10;qlldL6segvQBhIoRX+9GJ10X/LZVIn1r26gSMYxib6mcoZybfFbrFW+2gftOi2Mb/B+6sFw7LHqC&#10;uuOJk13Qf0FZLQJEaNNEgK2gbbVQhQOymdZ/sHnsuFeFC4oT/Umm+P9gxdf990C0ZPR9fUGJ4xaH&#10;9KSG1CojySzr0/vYYNijx8A0fIAB51y4Rv8A4mckDm477rbqJgToO8Ul9jfNmdVZ6ogTM8im/wIS&#10;y/BdggI0tMFm8VAOgug4p8NpNtgKEfi4XE6XFzW6BPoucPRo5xK8ecn2IaZPCizJBqMBZ1/Q+f4h&#10;pjH0JSQXc3CvjcF33hhHekavFrNFSTjzWJ1wPY22jF7mkseFySQ/OlmSE9dmtLEX446sM9GRcho2&#10;AwZmKTYgD8g/wLiG+G3Q6CD8pqTHFWQ0/trxoCgxnx1qeDWdz/POlst8gaQpCeeezbmHO4FQjCZK&#10;RvM2lT0fud6g1q0uMrx2cuwVV6sIefwGeXfP7yXq9bOunwEAAP//AwBQSwMEFAAGAAgAAAAhAPNi&#10;FBXfAAAADAEAAA8AAABkcnMvZG93bnJldi54bWxMj81OwzAQhO9IfQdrkXpr7VhtBSFOVYF6BVF+&#10;JG5uvE0i4nUUu014e7YnuO1oPs3OFNvJd+KCQ2wDGciWCgRSFVxLtYH3t/3iDkRMlpztAqGBH4yw&#10;LWc3hc1dGOkVL4dUCw6hmFsDTUp9LmWsGvQ2LkOPxN4pDN4mlkMt3WBHDved1EptpLct8YfG9vjY&#10;YPV9OHsDH8+nr8+Veqmf/Lofw6Qk+XtpzPx22j2ASDilPxiu9bk6lNzpGM7kougMLLKNZpQNpVcg&#10;roTSa15zNKAzPmRZyP8jyl8AAAD//wMAUEsBAi0AFAAGAAgAAAAhALaDOJL+AAAA4QEAABMAAAAA&#10;AAAAAAAAAAAAAAAAAFtDb250ZW50X1R5cGVzXS54bWxQSwECLQAUAAYACAAAACEAOP0h/9YAAACU&#10;AQAACwAAAAAAAAAAAAAAAAAvAQAAX3JlbHMvLnJlbHNQSwECLQAUAAYACAAAACEARUnA1AoCAAD0&#10;AwAADgAAAAAAAAAAAAAAAAAuAgAAZHJzL2Uyb0RvYy54bWxQSwECLQAUAAYACAAAACEA82IUFd8A&#10;AAAMAQAADwAAAAAAAAAAAAAAAABkBAAAZHJzL2Rvd25yZXYueG1sUEsFBgAAAAAEAAQA8wAAAHAF&#10;AAAAAA==&#10;" filled="f" stroked="f">
                <v:textbox>
                  <w:txbxContent>
                    <w:p w14:paraId="293F775E" w14:textId="4CDF1511" w:rsidR="00FC4C81" w:rsidRPr="006C5942" w:rsidRDefault="002D28BA">
                      <w:pPr>
                        <w:pBdr>
                          <w:top w:val="single" w:sz="24" w:space="8" w:color="4472C4" w:themeColor="accent1"/>
                          <w:bottom w:val="single" w:sz="24" w:space="8" w:color="4472C4" w:themeColor="accent1"/>
                        </w:pBdr>
                        <w:rPr>
                          <w:rFonts w:ascii="Garamond" w:hAnsi="Garamond"/>
                          <w:b/>
                          <w:bCs/>
                          <w:color w:val="1F3864" w:themeColor="accent1" w:themeShade="80"/>
                        </w:rPr>
                      </w:pPr>
                      <w:r>
                        <w:rPr>
                          <w:rFonts w:ascii="Garamond" w:hAnsi="Garamond"/>
                          <w:b/>
                          <w:bCs/>
                          <w:color w:val="1F3864" w:themeColor="accent1" w:themeShade="80"/>
                        </w:rPr>
                        <w:t>Dolus eventualis oder bewusste Fahrlässigkeit</w:t>
                      </w:r>
                    </w:p>
                    <w:p w14:paraId="6C9EF471" w14:textId="2FC1F0A2" w:rsidR="005948A9" w:rsidRPr="002D28BA" w:rsidRDefault="006C5942" w:rsidP="006C5942">
                      <w:pPr>
                        <w:pBdr>
                          <w:top w:val="single" w:sz="24" w:space="8" w:color="4472C4" w:themeColor="accent1"/>
                          <w:bottom w:val="single" w:sz="24" w:space="8" w:color="4472C4" w:themeColor="accent1"/>
                        </w:pBdr>
                        <w:rPr>
                          <w:rFonts w:ascii="Garamond" w:hAnsi="Garamond"/>
                          <w:color w:val="1F3864" w:themeColor="accent1" w:themeShade="80"/>
                        </w:rPr>
                      </w:pPr>
                      <w:r w:rsidRPr="002D28BA">
                        <w:rPr>
                          <w:rFonts w:ascii="Garamond" w:hAnsi="Garamond"/>
                          <w:color w:val="1F3864" w:themeColor="accent1" w:themeShade="80"/>
                        </w:rPr>
                        <w:t xml:space="preserve">BGH, </w:t>
                      </w:r>
                      <w:r w:rsidR="002D28BA">
                        <w:rPr>
                          <w:rFonts w:ascii="Garamond" w:hAnsi="Garamond"/>
                          <w:color w:val="1F3864" w:themeColor="accent1" w:themeShade="80"/>
                        </w:rPr>
                        <w:t>Beschl</w:t>
                      </w:r>
                      <w:r w:rsidRPr="002D28BA">
                        <w:rPr>
                          <w:rFonts w:ascii="Garamond" w:hAnsi="Garamond"/>
                          <w:color w:val="1F3864" w:themeColor="accent1" w:themeShade="80"/>
                        </w:rPr>
                        <w:t xml:space="preserve">. v. </w:t>
                      </w:r>
                      <w:r w:rsidR="002D28BA">
                        <w:rPr>
                          <w:rFonts w:ascii="Garamond" w:hAnsi="Garamond"/>
                          <w:color w:val="1F3864" w:themeColor="accent1" w:themeShade="80"/>
                        </w:rPr>
                        <w:t>05</w:t>
                      </w:r>
                      <w:r w:rsidRPr="002D28BA">
                        <w:rPr>
                          <w:rFonts w:ascii="Garamond" w:hAnsi="Garamond"/>
                          <w:color w:val="1F3864" w:themeColor="accent1" w:themeShade="80"/>
                        </w:rPr>
                        <w:t>.0</w:t>
                      </w:r>
                      <w:r w:rsidR="002D28BA">
                        <w:rPr>
                          <w:rFonts w:ascii="Garamond" w:hAnsi="Garamond"/>
                          <w:color w:val="1F3864" w:themeColor="accent1" w:themeShade="80"/>
                        </w:rPr>
                        <w:t>9</w:t>
                      </w:r>
                      <w:r w:rsidRPr="002D28BA">
                        <w:rPr>
                          <w:rFonts w:ascii="Garamond" w:hAnsi="Garamond"/>
                          <w:color w:val="1F3864" w:themeColor="accent1" w:themeShade="80"/>
                        </w:rPr>
                        <w:t>.202</w:t>
                      </w:r>
                      <w:r w:rsidR="002D28BA">
                        <w:rPr>
                          <w:rFonts w:ascii="Garamond" w:hAnsi="Garamond"/>
                          <w:color w:val="1F3864" w:themeColor="accent1" w:themeShade="80"/>
                        </w:rPr>
                        <w:t>4</w:t>
                      </w:r>
                      <w:r w:rsidRPr="002D28BA">
                        <w:rPr>
                          <w:rFonts w:ascii="Garamond" w:hAnsi="Garamond"/>
                          <w:color w:val="1F3864" w:themeColor="accent1" w:themeShade="80"/>
                        </w:rPr>
                        <w:t xml:space="preserve"> – </w:t>
                      </w:r>
                      <w:r w:rsidR="002D28BA">
                        <w:rPr>
                          <w:rFonts w:ascii="Garamond" w:hAnsi="Garamond"/>
                          <w:color w:val="1F3864" w:themeColor="accent1" w:themeShade="80"/>
                        </w:rPr>
                        <w:t>6</w:t>
                      </w:r>
                      <w:r w:rsidRPr="002D28BA">
                        <w:rPr>
                          <w:rFonts w:ascii="Garamond" w:hAnsi="Garamond"/>
                          <w:color w:val="1F3864" w:themeColor="accent1" w:themeShade="80"/>
                        </w:rPr>
                        <w:t xml:space="preserve"> </w:t>
                      </w:r>
                      <w:proofErr w:type="spellStart"/>
                      <w:r w:rsidRPr="002D28BA">
                        <w:rPr>
                          <w:rFonts w:ascii="Garamond" w:hAnsi="Garamond"/>
                          <w:color w:val="1F3864" w:themeColor="accent1" w:themeShade="80"/>
                        </w:rPr>
                        <w:t>StR</w:t>
                      </w:r>
                      <w:proofErr w:type="spellEnd"/>
                      <w:r w:rsidRPr="002D28BA">
                        <w:rPr>
                          <w:rFonts w:ascii="Garamond" w:hAnsi="Garamond"/>
                          <w:color w:val="1F3864" w:themeColor="accent1" w:themeShade="80"/>
                        </w:rPr>
                        <w:t xml:space="preserve"> 3</w:t>
                      </w:r>
                      <w:r w:rsidR="002D28BA">
                        <w:rPr>
                          <w:rFonts w:ascii="Garamond" w:hAnsi="Garamond"/>
                          <w:color w:val="1F3864" w:themeColor="accent1" w:themeShade="80"/>
                        </w:rPr>
                        <w:t>40</w:t>
                      </w:r>
                      <w:r w:rsidRPr="002D28BA">
                        <w:rPr>
                          <w:rFonts w:ascii="Garamond" w:hAnsi="Garamond"/>
                          <w:color w:val="1F3864" w:themeColor="accent1" w:themeShade="80"/>
                        </w:rPr>
                        <w:t>/</w:t>
                      </w:r>
                      <w:r w:rsidR="002D28BA">
                        <w:rPr>
                          <w:rFonts w:ascii="Garamond" w:hAnsi="Garamond"/>
                          <w:color w:val="1F3864" w:themeColor="accent1" w:themeShade="80"/>
                        </w:rPr>
                        <w:t>24</w:t>
                      </w:r>
                      <w:r w:rsidRPr="002D28BA">
                        <w:rPr>
                          <w:rFonts w:ascii="Garamond" w:hAnsi="Garamond"/>
                          <w:color w:val="1F3864" w:themeColor="accent1" w:themeShade="80"/>
                        </w:rPr>
                        <w:t xml:space="preserve">, BeckRS 2024, </w:t>
                      </w:r>
                      <w:r w:rsidR="002D28BA">
                        <w:rPr>
                          <w:rFonts w:ascii="Garamond" w:hAnsi="Garamond"/>
                          <w:color w:val="1F3864" w:themeColor="accent1" w:themeShade="80"/>
                        </w:rPr>
                        <w:t>24759</w:t>
                      </w:r>
                    </w:p>
                  </w:txbxContent>
                </v:textbox>
                <w10:wrap type="square" anchorx="margin"/>
              </v:shape>
            </w:pict>
          </mc:Fallback>
        </mc:AlternateContent>
      </w:r>
      <w:r w:rsidR="005948A9" w:rsidRPr="00FD71A1">
        <w:rPr>
          <w:rFonts w:ascii="Modern Love" w:hAnsi="Modern Love"/>
          <w:sz w:val="32"/>
          <w:szCs w:val="32"/>
        </w:rPr>
        <w:t>Examensrelevante Rechtsprechung</w:t>
      </w:r>
      <w:r w:rsidR="004F121E" w:rsidRPr="00FD71A1">
        <w:rPr>
          <w:rFonts w:ascii="Modern Love" w:hAnsi="Modern Love"/>
          <w:sz w:val="32"/>
          <w:szCs w:val="32"/>
        </w:rPr>
        <w:t xml:space="preserve"> </w:t>
      </w:r>
      <w:r w:rsidR="00BA54E4" w:rsidRPr="00BA54E4">
        <w:rPr>
          <w:rFonts w:ascii="Garamond" w:hAnsi="Garamond"/>
          <w:sz w:val="36"/>
          <w:szCs w:val="36"/>
        </w:rPr>
        <w:t>–</w:t>
      </w:r>
      <w:r w:rsidR="00BA54E4" w:rsidRPr="005948A9">
        <w:rPr>
          <w:rFonts w:ascii="Garamond" w:hAnsi="Garamond"/>
          <w:sz w:val="32"/>
          <w:szCs w:val="32"/>
        </w:rPr>
        <w:t xml:space="preserve"> </w:t>
      </w:r>
      <w:r w:rsidR="002D28BA">
        <w:rPr>
          <w:rFonts w:ascii="Garamond" w:hAnsi="Garamond"/>
          <w:sz w:val="36"/>
          <w:szCs w:val="36"/>
        </w:rPr>
        <w:t>März</w:t>
      </w:r>
      <w:r w:rsidR="00FC4C81">
        <w:rPr>
          <w:rFonts w:ascii="Garamond" w:hAnsi="Garamond"/>
          <w:sz w:val="36"/>
          <w:szCs w:val="36"/>
        </w:rPr>
        <w:t xml:space="preserve"> 2</w:t>
      </w:r>
      <w:r w:rsidR="002D28BA">
        <w:rPr>
          <w:rFonts w:ascii="Garamond" w:hAnsi="Garamond"/>
          <w:sz w:val="36"/>
          <w:szCs w:val="36"/>
        </w:rPr>
        <w:t>5</w:t>
      </w:r>
    </w:p>
    <w:p w14:paraId="0495A457" w14:textId="255B45CC" w:rsidR="007F4F6A" w:rsidRPr="00CD0533" w:rsidRDefault="005948A9" w:rsidP="007F4F6A">
      <w:pPr>
        <w:spacing w:line="276" w:lineRule="auto"/>
        <w:jc w:val="both"/>
        <w:rPr>
          <w:rFonts w:ascii="Garamond" w:hAnsi="Garamond"/>
          <w:sz w:val="22"/>
          <w:szCs w:val="22"/>
        </w:rPr>
      </w:pPr>
      <w:r w:rsidRPr="00CD0533">
        <w:rPr>
          <w:rFonts w:ascii="Garamond" w:hAnsi="Garamond"/>
        </w:rPr>
        <w:t xml:space="preserve">Wiss. </w:t>
      </w:r>
      <w:r w:rsidR="008716FF">
        <w:rPr>
          <w:rFonts w:ascii="Garamond" w:hAnsi="Garamond"/>
        </w:rPr>
        <w:t>Mit</w:t>
      </w:r>
      <w:r w:rsidR="00CE1432">
        <w:rPr>
          <w:rFonts w:ascii="Garamond" w:hAnsi="Garamond"/>
        </w:rPr>
        <w:t>.</w:t>
      </w:r>
      <w:r w:rsidR="00803666">
        <w:rPr>
          <w:rFonts w:ascii="Garamond" w:hAnsi="Garamond"/>
        </w:rPr>
        <w:t xml:space="preserve"> </w:t>
      </w:r>
      <w:r w:rsidR="008716FF">
        <w:rPr>
          <w:rFonts w:ascii="Garamond" w:hAnsi="Garamond"/>
        </w:rPr>
        <w:t>Fatih-Anil Uzun</w:t>
      </w:r>
    </w:p>
    <w:p w14:paraId="0ED0BAE6" w14:textId="3262ECEC" w:rsidR="006C5942" w:rsidRDefault="002D28BA" w:rsidP="00FD71A1">
      <w:pPr>
        <w:spacing w:line="276" w:lineRule="auto"/>
        <w:jc w:val="both"/>
        <w:rPr>
          <w:rFonts w:ascii="Garamond" w:hAnsi="Garamond"/>
        </w:rPr>
      </w:pPr>
      <w:r>
        <w:rPr>
          <w:rFonts w:ascii="Garamond" w:hAnsi="Garamond"/>
        </w:rPr>
        <w:t xml:space="preserve">Die Abgrenzung zwischen </w:t>
      </w:r>
      <w:proofErr w:type="spellStart"/>
      <w:r>
        <w:rPr>
          <w:rFonts w:ascii="Garamond" w:hAnsi="Garamond"/>
        </w:rPr>
        <w:t>dolus</w:t>
      </w:r>
      <w:proofErr w:type="spellEnd"/>
      <w:r>
        <w:rPr>
          <w:rFonts w:ascii="Garamond" w:hAnsi="Garamond"/>
        </w:rPr>
        <w:t xml:space="preserve"> eventualis und bewusster Fahrlässigkeit stellt einen Klassiker dar. Dabei ist die Unterscheidung in der Klausurpraxis in der Regel nicht schwierig, da die Tätervorstellung dem Bearbeitenden meist auf dem Silbertablett serviert wird. Fehlt es hingegen im Sachverhalt an einem klaren Bekenntnis muss der Sachverhaltsersteller dem Prüfling zumindest Indizien liefern, die bei objektiv-verständiger Würdigung auf einen bedingten Vorsatz deuten. Die maßgeblichen Kriterien für die Entscheidung, ob ein bedingter Vorsatz vorliegt, sollten </w:t>
      </w:r>
      <w:r w:rsidR="00C65F39">
        <w:rPr>
          <w:rFonts w:ascii="Garamond" w:hAnsi="Garamond"/>
        </w:rPr>
        <w:t>vom Prüfling</w:t>
      </w:r>
      <w:r>
        <w:rPr>
          <w:rFonts w:ascii="Garamond" w:hAnsi="Garamond"/>
        </w:rPr>
        <w:t xml:space="preserve"> beherrscht werden. Dazu gehören bspw. die objektive Gefährlichkeit der Handlung und der Grad der Wahrscheinlichkeit eines Erfolgseintritts. In der vorliegenden Entscheidung, bei dem es um einen Stoß aus dem zweiten Stock ging, betont der BGH, dass die genannten Kriterien nicht allein maßgeblich sind, sondern es auch bei besonders gefährlichen Handlungen auf die Umstände des Einzelfalls ankommt. </w:t>
      </w:r>
      <w:r w:rsidR="0062385E">
        <w:rPr>
          <w:rFonts w:ascii="Garamond" w:hAnsi="Garamond"/>
        </w:rPr>
        <w:t>Auch eine etwaige alkoholbedingte Enthemmung des Täters bspw., kann als weiterer Umstand zur Entkräftung des Tötungsvorsatzes in Betracht kommen.</w:t>
      </w:r>
      <w:r>
        <w:rPr>
          <w:rFonts w:ascii="Garamond" w:hAnsi="Garamond"/>
        </w:rPr>
        <w:t xml:space="preserve"> </w:t>
      </w:r>
    </w:p>
    <w:p w14:paraId="2902E721" w14:textId="0A94C1FC" w:rsidR="00EB1AFF" w:rsidRPr="00694BAE" w:rsidRDefault="00694BAE" w:rsidP="00EB1AFF">
      <w:pPr>
        <w:pBdr>
          <w:top w:val="single" w:sz="24" w:space="8" w:color="4472C4" w:themeColor="accent1"/>
          <w:bottom w:val="single" w:sz="24" w:space="8" w:color="4472C4" w:themeColor="accent1"/>
        </w:pBdr>
        <w:rPr>
          <w:rFonts w:ascii="Garamond" w:hAnsi="Garamond"/>
          <w:b/>
          <w:bCs/>
          <w:color w:val="1F3864" w:themeColor="accent1" w:themeShade="80"/>
        </w:rPr>
      </w:pPr>
      <w:r w:rsidRPr="00694BAE">
        <w:rPr>
          <w:rFonts w:ascii="Garamond" w:hAnsi="Garamond"/>
          <w:b/>
          <w:bCs/>
          <w:color w:val="1F3864" w:themeColor="accent1" w:themeShade="80"/>
        </w:rPr>
        <w:t>Angst des Opfers als q</w:t>
      </w:r>
      <w:r>
        <w:rPr>
          <w:rFonts w:ascii="Garamond" w:hAnsi="Garamond"/>
          <w:b/>
          <w:bCs/>
          <w:color w:val="1F3864" w:themeColor="accent1" w:themeShade="80"/>
        </w:rPr>
        <w:t>ualifiziertes Nötigungsmittel beim Raub?</w:t>
      </w:r>
    </w:p>
    <w:p w14:paraId="6F69AAC3" w14:textId="0D3D7A98" w:rsidR="00EB1AFF" w:rsidRPr="00694BAE" w:rsidRDefault="00694BAE" w:rsidP="00EB1AFF">
      <w:pPr>
        <w:pBdr>
          <w:top w:val="single" w:sz="24" w:space="8" w:color="4472C4" w:themeColor="accent1"/>
          <w:bottom w:val="single" w:sz="24" w:space="8" w:color="4472C4" w:themeColor="accent1"/>
        </w:pBdr>
        <w:rPr>
          <w:rFonts w:ascii="Garamond" w:hAnsi="Garamond"/>
          <w:color w:val="1F3864" w:themeColor="accent1" w:themeShade="80"/>
        </w:rPr>
      </w:pPr>
      <w:r w:rsidRPr="00694BAE">
        <w:rPr>
          <w:rFonts w:ascii="Garamond" w:hAnsi="Garamond"/>
          <w:color w:val="1F3864" w:themeColor="accent1" w:themeShade="80"/>
        </w:rPr>
        <w:t>BGH</w:t>
      </w:r>
      <w:r w:rsidR="00EB1AFF" w:rsidRPr="00694BAE">
        <w:rPr>
          <w:rFonts w:ascii="Garamond" w:hAnsi="Garamond"/>
          <w:color w:val="1F3864" w:themeColor="accent1" w:themeShade="80"/>
        </w:rPr>
        <w:t xml:space="preserve">, </w:t>
      </w:r>
      <w:r w:rsidRPr="00694BAE">
        <w:rPr>
          <w:rFonts w:ascii="Garamond" w:hAnsi="Garamond"/>
          <w:color w:val="1F3864" w:themeColor="accent1" w:themeShade="80"/>
        </w:rPr>
        <w:t>Beschl.</w:t>
      </w:r>
      <w:r w:rsidR="00EB1AFF" w:rsidRPr="00694BAE">
        <w:rPr>
          <w:rFonts w:ascii="Garamond" w:hAnsi="Garamond"/>
          <w:color w:val="1F3864" w:themeColor="accent1" w:themeShade="80"/>
        </w:rPr>
        <w:t xml:space="preserve"> v. </w:t>
      </w:r>
      <w:r>
        <w:rPr>
          <w:rFonts w:ascii="Garamond" w:hAnsi="Garamond"/>
          <w:color w:val="1F3864" w:themeColor="accent1" w:themeShade="80"/>
        </w:rPr>
        <w:t>27</w:t>
      </w:r>
      <w:r w:rsidR="00EB1AFF" w:rsidRPr="00694BAE">
        <w:rPr>
          <w:rFonts w:ascii="Garamond" w:hAnsi="Garamond"/>
          <w:color w:val="1F3864" w:themeColor="accent1" w:themeShade="80"/>
        </w:rPr>
        <w:t>.</w:t>
      </w:r>
      <w:r>
        <w:rPr>
          <w:rFonts w:ascii="Garamond" w:hAnsi="Garamond"/>
          <w:color w:val="1F3864" w:themeColor="accent1" w:themeShade="80"/>
        </w:rPr>
        <w:t>08</w:t>
      </w:r>
      <w:r w:rsidR="00EB1AFF" w:rsidRPr="00694BAE">
        <w:rPr>
          <w:rFonts w:ascii="Garamond" w:hAnsi="Garamond"/>
          <w:color w:val="1F3864" w:themeColor="accent1" w:themeShade="80"/>
        </w:rPr>
        <w:t>.202</w:t>
      </w:r>
      <w:r>
        <w:rPr>
          <w:rFonts w:ascii="Garamond" w:hAnsi="Garamond"/>
          <w:color w:val="1F3864" w:themeColor="accent1" w:themeShade="80"/>
        </w:rPr>
        <w:t>4</w:t>
      </w:r>
      <w:r w:rsidR="00EB1AFF" w:rsidRPr="00694BAE">
        <w:rPr>
          <w:rFonts w:ascii="Garamond" w:hAnsi="Garamond"/>
          <w:color w:val="1F3864" w:themeColor="accent1" w:themeShade="80"/>
        </w:rPr>
        <w:t xml:space="preserve"> – </w:t>
      </w:r>
      <w:r>
        <w:rPr>
          <w:rFonts w:ascii="Garamond" w:hAnsi="Garamond"/>
          <w:color w:val="1F3864" w:themeColor="accent1" w:themeShade="80"/>
        </w:rPr>
        <w:t>5</w:t>
      </w:r>
      <w:r w:rsidR="00EB1AFF" w:rsidRPr="00694BAE">
        <w:rPr>
          <w:rFonts w:ascii="Garamond" w:hAnsi="Garamond"/>
          <w:color w:val="1F3864" w:themeColor="accent1" w:themeShade="80"/>
        </w:rPr>
        <w:t xml:space="preserve"> </w:t>
      </w:r>
      <w:r>
        <w:rPr>
          <w:rFonts w:ascii="Garamond" w:hAnsi="Garamond"/>
          <w:color w:val="1F3864" w:themeColor="accent1" w:themeShade="80"/>
        </w:rPr>
        <w:t>StR</w:t>
      </w:r>
      <w:r w:rsidR="00EB1AFF" w:rsidRPr="00694BAE">
        <w:rPr>
          <w:rFonts w:ascii="Garamond" w:hAnsi="Garamond"/>
          <w:color w:val="1F3864" w:themeColor="accent1" w:themeShade="80"/>
        </w:rPr>
        <w:t xml:space="preserve"> </w:t>
      </w:r>
      <w:r>
        <w:rPr>
          <w:rFonts w:ascii="Garamond" w:hAnsi="Garamond"/>
          <w:color w:val="1F3864" w:themeColor="accent1" w:themeShade="80"/>
        </w:rPr>
        <w:t>403</w:t>
      </w:r>
      <w:r w:rsidR="00EB1AFF" w:rsidRPr="00694BAE">
        <w:rPr>
          <w:rFonts w:ascii="Garamond" w:hAnsi="Garamond"/>
          <w:color w:val="1F3864" w:themeColor="accent1" w:themeShade="80"/>
        </w:rPr>
        <w:t>/2</w:t>
      </w:r>
      <w:r>
        <w:rPr>
          <w:rFonts w:ascii="Garamond" w:hAnsi="Garamond"/>
          <w:color w:val="1F3864" w:themeColor="accent1" w:themeShade="80"/>
        </w:rPr>
        <w:t>4</w:t>
      </w:r>
      <w:r w:rsidR="00EB1AFF" w:rsidRPr="00694BAE">
        <w:rPr>
          <w:rFonts w:ascii="Garamond" w:hAnsi="Garamond"/>
          <w:color w:val="1F3864" w:themeColor="accent1" w:themeShade="80"/>
        </w:rPr>
        <w:t>, BeckRS 202</w:t>
      </w:r>
      <w:r>
        <w:rPr>
          <w:rFonts w:ascii="Garamond" w:hAnsi="Garamond"/>
          <w:color w:val="1F3864" w:themeColor="accent1" w:themeShade="80"/>
        </w:rPr>
        <w:t>4, 26192</w:t>
      </w:r>
    </w:p>
    <w:p w14:paraId="6B24B306" w14:textId="77777777" w:rsidR="00E74B19" w:rsidRPr="00694BAE" w:rsidRDefault="00E74B19" w:rsidP="00A86B93">
      <w:pPr>
        <w:jc w:val="both"/>
        <w:rPr>
          <w:rFonts w:ascii="Garamond" w:hAnsi="Garamond"/>
        </w:rPr>
      </w:pPr>
    </w:p>
    <w:p w14:paraId="38F47ED3" w14:textId="3073423A" w:rsidR="00DE789A" w:rsidRDefault="00DE789A" w:rsidP="00DE789A">
      <w:pPr>
        <w:spacing w:line="276" w:lineRule="auto"/>
        <w:jc w:val="both"/>
        <w:rPr>
          <w:rFonts w:ascii="Garamond" w:hAnsi="Garamond"/>
          <w:noProof/>
        </w:rPr>
      </w:pPr>
      <w:r w:rsidRPr="00AE2D4E">
        <w:rPr>
          <w:rFonts w:ascii="Garamond" w:hAnsi="Garamond"/>
          <w:noProof/>
        </w:rPr>
        <mc:AlternateContent>
          <mc:Choice Requires="wps">
            <w:drawing>
              <wp:anchor distT="91440" distB="91440" distL="114300" distR="114300" simplePos="0" relativeHeight="251662336" behindDoc="1" locked="0" layoutInCell="1" allowOverlap="1" wp14:anchorId="0179A0BB" wp14:editId="67BA10C8">
                <wp:simplePos x="0" y="0"/>
                <wp:positionH relativeFrom="margin">
                  <wp:posOffset>-57785</wp:posOffset>
                </wp:positionH>
                <wp:positionV relativeFrom="paragraph">
                  <wp:posOffset>2075815</wp:posOffset>
                </wp:positionV>
                <wp:extent cx="6519545" cy="72390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723900"/>
                        </a:xfrm>
                        <a:prstGeom prst="rect">
                          <a:avLst/>
                        </a:prstGeom>
                        <a:noFill/>
                        <a:ln w="9525">
                          <a:noFill/>
                          <a:miter lim="800000"/>
                          <a:headEnd/>
                          <a:tailEnd/>
                        </a:ln>
                      </wps:spPr>
                      <wps:txbx>
                        <w:txbxContent>
                          <w:p w14:paraId="10D8AA9C" w14:textId="64E7E2F3" w:rsidR="00416300" w:rsidRDefault="00C65F39" w:rsidP="005948A9">
                            <w:pPr>
                              <w:pBdr>
                                <w:top w:val="single" w:sz="24" w:space="8" w:color="4472C4" w:themeColor="accent1"/>
                                <w:bottom w:val="single" w:sz="24" w:space="8" w:color="4472C4" w:themeColor="accent1"/>
                              </w:pBdr>
                              <w:rPr>
                                <w:rFonts w:ascii="Garamond" w:hAnsi="Garamond"/>
                                <w:b/>
                                <w:bCs/>
                                <w:color w:val="1F3864" w:themeColor="accent1" w:themeShade="80"/>
                              </w:rPr>
                            </w:pPr>
                            <w:r>
                              <w:rPr>
                                <w:rFonts w:ascii="Garamond" w:hAnsi="Garamond"/>
                                <w:b/>
                                <w:bCs/>
                                <w:color w:val="1F3864" w:themeColor="accent1" w:themeShade="80"/>
                              </w:rPr>
                              <w:t>Gefahrverwirklichungszusammenhang im Rahmen von § 315c StGB</w:t>
                            </w:r>
                          </w:p>
                          <w:p w14:paraId="6315EBF3" w14:textId="7FDE8266" w:rsidR="00803666" w:rsidRPr="00416300" w:rsidRDefault="00A75F5D" w:rsidP="00A75F5D">
                            <w:pPr>
                              <w:pBdr>
                                <w:top w:val="single" w:sz="24" w:space="8" w:color="4472C4" w:themeColor="accent1"/>
                                <w:bottom w:val="single" w:sz="24" w:space="8" w:color="4472C4" w:themeColor="accent1"/>
                              </w:pBdr>
                              <w:rPr>
                                <w:rFonts w:ascii="Garamond" w:hAnsi="Garamond"/>
                                <w:color w:val="1F3864" w:themeColor="accent1" w:themeShade="80"/>
                              </w:rPr>
                            </w:pPr>
                            <w:r w:rsidRPr="00A75F5D">
                              <w:rPr>
                                <w:rFonts w:ascii="Garamond" w:hAnsi="Garamond"/>
                                <w:color w:val="1F3864" w:themeColor="accent1" w:themeShade="80"/>
                              </w:rPr>
                              <w:t xml:space="preserve">BGH, Beschl. v. </w:t>
                            </w:r>
                            <w:r w:rsidR="00C65F39">
                              <w:rPr>
                                <w:rFonts w:ascii="Garamond" w:hAnsi="Garamond"/>
                                <w:color w:val="1F3864" w:themeColor="accent1" w:themeShade="80"/>
                              </w:rPr>
                              <w:t>19</w:t>
                            </w:r>
                            <w:r w:rsidRPr="00A75F5D">
                              <w:rPr>
                                <w:rFonts w:ascii="Garamond" w:hAnsi="Garamond"/>
                                <w:color w:val="1F3864" w:themeColor="accent1" w:themeShade="80"/>
                              </w:rPr>
                              <w:t>.0</w:t>
                            </w:r>
                            <w:r w:rsidR="00C65F39">
                              <w:rPr>
                                <w:rFonts w:ascii="Garamond" w:hAnsi="Garamond"/>
                                <w:color w:val="1F3864" w:themeColor="accent1" w:themeShade="80"/>
                              </w:rPr>
                              <w:t>6</w:t>
                            </w:r>
                            <w:r w:rsidRPr="00A75F5D">
                              <w:rPr>
                                <w:rFonts w:ascii="Garamond" w:hAnsi="Garamond"/>
                                <w:color w:val="1F3864" w:themeColor="accent1" w:themeShade="80"/>
                              </w:rPr>
                              <w:t xml:space="preserve">.2024 – 4 </w:t>
                            </w:r>
                            <w:proofErr w:type="spellStart"/>
                            <w:r w:rsidRPr="00A75F5D">
                              <w:rPr>
                                <w:rFonts w:ascii="Garamond" w:hAnsi="Garamond"/>
                                <w:color w:val="1F3864" w:themeColor="accent1" w:themeShade="80"/>
                              </w:rPr>
                              <w:t>StR</w:t>
                            </w:r>
                            <w:proofErr w:type="spellEnd"/>
                            <w:r w:rsidRPr="00A75F5D">
                              <w:rPr>
                                <w:rFonts w:ascii="Garamond" w:hAnsi="Garamond"/>
                                <w:color w:val="1F3864" w:themeColor="accent1" w:themeShade="80"/>
                              </w:rPr>
                              <w:t xml:space="preserve"> </w:t>
                            </w:r>
                            <w:r w:rsidR="00C65F39">
                              <w:rPr>
                                <w:rFonts w:ascii="Garamond" w:hAnsi="Garamond"/>
                                <w:color w:val="1F3864" w:themeColor="accent1" w:themeShade="80"/>
                              </w:rPr>
                              <w:t>73</w:t>
                            </w:r>
                            <w:r w:rsidRPr="00A75F5D">
                              <w:rPr>
                                <w:rFonts w:ascii="Garamond" w:hAnsi="Garamond"/>
                                <w:color w:val="1F3864" w:themeColor="accent1" w:themeShade="80"/>
                              </w:rPr>
                              <w:t>/24</w:t>
                            </w:r>
                            <w:r w:rsidR="00C65F39">
                              <w:rPr>
                                <w:rFonts w:ascii="Garamond" w:hAnsi="Garamond"/>
                                <w:color w:val="1F3864" w:themeColor="accent1" w:themeShade="80"/>
                              </w:rPr>
                              <w:t>, BeckRS 2024, 16798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179A0BB" id="_x0000_s1027" type="#_x0000_t202" style="position:absolute;left:0;text-align:left;margin-left:-4.55pt;margin-top:163.45pt;width:513.35pt;height:57pt;z-index:-2516541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UL/AEAANQDAAAOAAAAZHJzL2Uyb0RvYy54bWysU11v2yAUfZ+0/4B4X+x4cdtYcaquXadJ&#10;3YfU7gdgjGM04DIgsbNfvwt202h7q+YHdOH6Hu4597C5HrUiB+G8BFPT5SKnRBgOrTS7mv54un93&#10;RYkPzLRMgRE1PQpPr7dv32wGW4kCelCtcARBjK8GW9M+BFtlmee90MwvwAqDyQ6cZgG3bpe1jg2I&#10;rlVW5PlFNoBrrQMuvMfTuylJtwm/6wQP37rOi0BUTbG3kFaX1iau2XbDqp1jtpd8boO9ogvNpMFL&#10;T1B3LDCyd/IfKC25Aw9dWHDQGXSd5CJxQDbL/C82jz2zInFBcbw9yeT/Hyz/eni03x0J4wcYcYCJ&#10;hLcPwH96YuC2Z2YnbpyDoResxYuXUbJssL6aS6PUvvIRpBm+QItDZvsACWjsnI6qIE+C6DiA40l0&#10;MQbC8fCiXK7LVUkJx9xl8X6dp6lkrHquts6HTwI0iUFNHQ41obPDgw+xG1Y9/xIvM3AvlUqDVYYM&#10;NV2XRZkKzjJaBvSdkrqmV3n8JidEkh9Nm4oDk2qK8QJlZtaR6EQ5jM1IZDtLEkVooD2iDA4mm+Gz&#10;wKAH95uSAS1WU/9rz5ygRH02KOV6uVpFT6bNqrwscOPOM815hhmOUDUNlEzhbUg+nijfoOSdTGq8&#10;dDK3jNZJIs02j94836e/Xh7j9g8AAAD//wMAUEsDBBQABgAIAAAAIQDe3Eyq4QAAABABAAAPAAAA&#10;ZHJzL2Rvd25yZXYueG1sTE/JTsMwEL0j8Q/WIHFr7ZQQSJpJhai4giiLxM2Np0lEPI5itwl/j3uC&#10;y0hP89ZyM9tenGj0nWOEZKlAENfOdNwgvL89Le5B+KDZ6N4xIfyQh011eVHqwriJX+m0C42IJuwL&#10;jdCGMBRS+rolq/3SDcTxd3Cj1SHCsZFm1FM0t71cKZVJqzuOCa0e6LGl+nt3tAgfz4evz1S9NFt7&#10;O0xuVpJtLhGvr+btOp6HNYhAc/hTwHlD7A9VLLZ3RzZe9AiLPIlMhJtVloM4E1Ryl4HYI6SpykFW&#10;pfw/pPoFAAD//wMAUEsBAi0AFAAGAAgAAAAhALaDOJL+AAAA4QEAABMAAAAAAAAAAAAAAAAAAAAA&#10;AFtDb250ZW50X1R5cGVzXS54bWxQSwECLQAUAAYACAAAACEAOP0h/9YAAACUAQAACwAAAAAAAAAA&#10;AAAAAAAvAQAAX3JlbHMvLnJlbHNQSwECLQAUAAYACAAAACEA4oEVC/wBAADUAwAADgAAAAAAAAAA&#10;AAAAAAAuAgAAZHJzL2Uyb0RvYy54bWxQSwECLQAUAAYACAAAACEA3txMquEAAAAQAQAADwAAAAAA&#10;AAAAAAAAAABWBAAAZHJzL2Rvd25yZXYueG1sUEsFBgAAAAAEAAQA8wAAAGQFAAAAAA==&#10;" filled="f" stroked="f">
                <v:textbox>
                  <w:txbxContent>
                    <w:p w14:paraId="10D8AA9C" w14:textId="64E7E2F3" w:rsidR="00416300" w:rsidRDefault="00C65F39" w:rsidP="005948A9">
                      <w:pPr>
                        <w:pBdr>
                          <w:top w:val="single" w:sz="24" w:space="8" w:color="4472C4" w:themeColor="accent1"/>
                          <w:bottom w:val="single" w:sz="24" w:space="8" w:color="4472C4" w:themeColor="accent1"/>
                        </w:pBdr>
                        <w:rPr>
                          <w:rFonts w:ascii="Garamond" w:hAnsi="Garamond"/>
                          <w:b/>
                          <w:bCs/>
                          <w:color w:val="1F3864" w:themeColor="accent1" w:themeShade="80"/>
                        </w:rPr>
                      </w:pPr>
                      <w:r>
                        <w:rPr>
                          <w:rFonts w:ascii="Garamond" w:hAnsi="Garamond"/>
                          <w:b/>
                          <w:bCs/>
                          <w:color w:val="1F3864" w:themeColor="accent1" w:themeShade="80"/>
                        </w:rPr>
                        <w:t>Gefahrverwirklichungszusammenhang im Rahmen von § 315c StGB</w:t>
                      </w:r>
                    </w:p>
                    <w:p w14:paraId="6315EBF3" w14:textId="7FDE8266" w:rsidR="00803666" w:rsidRPr="00416300" w:rsidRDefault="00A75F5D" w:rsidP="00A75F5D">
                      <w:pPr>
                        <w:pBdr>
                          <w:top w:val="single" w:sz="24" w:space="8" w:color="4472C4" w:themeColor="accent1"/>
                          <w:bottom w:val="single" w:sz="24" w:space="8" w:color="4472C4" w:themeColor="accent1"/>
                        </w:pBdr>
                        <w:rPr>
                          <w:rFonts w:ascii="Garamond" w:hAnsi="Garamond"/>
                          <w:color w:val="1F3864" w:themeColor="accent1" w:themeShade="80"/>
                        </w:rPr>
                      </w:pPr>
                      <w:r w:rsidRPr="00A75F5D">
                        <w:rPr>
                          <w:rFonts w:ascii="Garamond" w:hAnsi="Garamond"/>
                          <w:color w:val="1F3864" w:themeColor="accent1" w:themeShade="80"/>
                        </w:rPr>
                        <w:t xml:space="preserve">BGH, Beschl. v. </w:t>
                      </w:r>
                      <w:r w:rsidR="00C65F39">
                        <w:rPr>
                          <w:rFonts w:ascii="Garamond" w:hAnsi="Garamond"/>
                          <w:color w:val="1F3864" w:themeColor="accent1" w:themeShade="80"/>
                        </w:rPr>
                        <w:t>19</w:t>
                      </w:r>
                      <w:r w:rsidRPr="00A75F5D">
                        <w:rPr>
                          <w:rFonts w:ascii="Garamond" w:hAnsi="Garamond"/>
                          <w:color w:val="1F3864" w:themeColor="accent1" w:themeShade="80"/>
                        </w:rPr>
                        <w:t>.0</w:t>
                      </w:r>
                      <w:r w:rsidR="00C65F39">
                        <w:rPr>
                          <w:rFonts w:ascii="Garamond" w:hAnsi="Garamond"/>
                          <w:color w:val="1F3864" w:themeColor="accent1" w:themeShade="80"/>
                        </w:rPr>
                        <w:t>6</w:t>
                      </w:r>
                      <w:r w:rsidRPr="00A75F5D">
                        <w:rPr>
                          <w:rFonts w:ascii="Garamond" w:hAnsi="Garamond"/>
                          <w:color w:val="1F3864" w:themeColor="accent1" w:themeShade="80"/>
                        </w:rPr>
                        <w:t xml:space="preserve">.2024 – 4 </w:t>
                      </w:r>
                      <w:proofErr w:type="spellStart"/>
                      <w:r w:rsidRPr="00A75F5D">
                        <w:rPr>
                          <w:rFonts w:ascii="Garamond" w:hAnsi="Garamond"/>
                          <w:color w:val="1F3864" w:themeColor="accent1" w:themeShade="80"/>
                        </w:rPr>
                        <w:t>StR</w:t>
                      </w:r>
                      <w:proofErr w:type="spellEnd"/>
                      <w:r w:rsidRPr="00A75F5D">
                        <w:rPr>
                          <w:rFonts w:ascii="Garamond" w:hAnsi="Garamond"/>
                          <w:color w:val="1F3864" w:themeColor="accent1" w:themeShade="80"/>
                        </w:rPr>
                        <w:t xml:space="preserve"> </w:t>
                      </w:r>
                      <w:r w:rsidR="00C65F39">
                        <w:rPr>
                          <w:rFonts w:ascii="Garamond" w:hAnsi="Garamond"/>
                          <w:color w:val="1F3864" w:themeColor="accent1" w:themeShade="80"/>
                        </w:rPr>
                        <w:t>73</w:t>
                      </w:r>
                      <w:r w:rsidRPr="00A75F5D">
                        <w:rPr>
                          <w:rFonts w:ascii="Garamond" w:hAnsi="Garamond"/>
                          <w:color w:val="1F3864" w:themeColor="accent1" w:themeShade="80"/>
                        </w:rPr>
                        <w:t>/24</w:t>
                      </w:r>
                      <w:r w:rsidR="00C65F39">
                        <w:rPr>
                          <w:rFonts w:ascii="Garamond" w:hAnsi="Garamond"/>
                          <w:color w:val="1F3864" w:themeColor="accent1" w:themeShade="80"/>
                        </w:rPr>
                        <w:t>, BeckRS 2024, 16798</w:t>
                      </w:r>
                    </w:p>
                  </w:txbxContent>
                </v:textbox>
                <w10:wrap type="square" anchorx="margin"/>
              </v:shape>
            </w:pict>
          </mc:Fallback>
        </mc:AlternateContent>
      </w:r>
      <w:r w:rsidR="00694BAE">
        <w:rPr>
          <w:rFonts w:ascii="Garamond" w:hAnsi="Garamond"/>
          <w:noProof/>
        </w:rPr>
        <w:t>Beim Raub gem. § 249 StGB wird ein qualifiziertes Nötigungsmittel (Gewalt oder Drohung) verlangt. Aufpassen muss man in Konstellationen, bei dem der Täter den Wegnahmevorsatz erst nach dem qualifizierten Nötigungsmittel fasst</w:t>
      </w:r>
      <w:r w:rsidR="002C7092">
        <w:rPr>
          <w:rFonts w:ascii="Garamond" w:hAnsi="Garamond"/>
          <w:noProof/>
        </w:rPr>
        <w:t>;</w:t>
      </w:r>
      <w:r w:rsidR="00694BAE">
        <w:rPr>
          <w:rFonts w:ascii="Garamond" w:hAnsi="Garamond"/>
          <w:noProof/>
        </w:rPr>
        <w:t xml:space="preserve"> hier liegt in der Regel kein Raub vor. Es kann jedoch Fälle geben</w:t>
      </w:r>
      <w:r>
        <w:rPr>
          <w:rFonts w:ascii="Garamond" w:hAnsi="Garamond"/>
          <w:noProof/>
        </w:rPr>
        <w:t xml:space="preserve">, bei denen „eine Drohung auch dann gegeben ist, wenn die zunächst mit anderer Zielrichtung vorgenommene Gewalt zum Zeitpunkt der Wegnahme noch andauert oder als aktuelle Drohung mit erneuter Gewaltanwendung auf das Opfer einwirkt und der Täter diesen Umstand bewusst dazu ausnutzt, dem Opfer, das sich dagegen nicht mehr zu wehren wagt, die Beute wegzunehmen.“ Indes reicht dem BGH das bloße Ausnutzen der Angst, wenn das Opfer nur erwartet, der Täter werde es an Leib oder Leben schädigen, nicht aus, um einen Raub anzunehmen. Erforderlich sei vielmehr, dass der Täter die Gefahr für Leib oder Leben deutlich in Aussicht stellt, die Drohung also durch ein bestimmtes Verhalten zumindest konkludent </w:t>
      </w:r>
      <w:r w:rsidR="002C7092">
        <w:rPr>
          <w:rFonts w:ascii="Garamond" w:hAnsi="Garamond"/>
          <w:noProof/>
        </w:rPr>
        <w:t>deutlich genug</w:t>
      </w:r>
      <w:r>
        <w:rPr>
          <w:rFonts w:ascii="Garamond" w:hAnsi="Garamond"/>
          <w:noProof/>
        </w:rPr>
        <w:t xml:space="preserve"> erkennbar macht.</w:t>
      </w:r>
    </w:p>
    <w:p w14:paraId="5CA565AC" w14:textId="6822C3C3" w:rsidR="006C5942" w:rsidRPr="00B604C8" w:rsidRDefault="00C65F39" w:rsidP="00CE029C">
      <w:pPr>
        <w:spacing w:line="276" w:lineRule="auto"/>
        <w:jc w:val="both"/>
        <w:rPr>
          <w:rFonts w:ascii="Garamond" w:hAnsi="Garamond"/>
          <w:noProof/>
        </w:rPr>
      </w:pPr>
      <w:r>
        <w:rPr>
          <w:rFonts w:ascii="Garamond" w:hAnsi="Garamond"/>
          <w:noProof/>
        </w:rPr>
        <w:t xml:space="preserve">In der vorliegenden Entscheidung ging es um einen Fall des § 315c Abs. 1 Nr. 2 d. Dabei sollte vom Prüfling erkannt werden, dass es sich bei § 315c StGB um ein konkretes Gefährdungsdelikt handelt. Nach gefestigter Rechtsprechung liegt dieses vor, wenn die Tathandlung über die ihr innewohnende latente Gefährlichkeit hinaus in eine kritische Situation geführt hat, in der – was nach allgemeiner Lebenserfahrung aufgrund einer objektiv nachträglichen Prognose zu beurteilen ist – die Sicherheit einer bestimmten Person oder Sache so stark beeinträchtigt wurde, dass es nur noch vom Zufall abhing, ob das Rechtsgut verletzt wurde oder nicht. Kurzum ist die Feststellung eines „Beinahe-Unfalls“ erforderlich, also eines Geschehens, bei dem ein unbeteiligter Beobachter zu der Einschätzung gelangt, es sei „noch einmal gut gegangen“. Jedoch setzt der § 315c Abs. 1 Nr. 2 d im objektiven Tatbestand darüber hinaus voraus, dass die konkrete Gefahr in einem inneren Zusammenhang mit den Risiken steht, die von der unübersichtlichen Stelle typischerweise ausgehen. </w:t>
      </w:r>
    </w:p>
    <w:sectPr w:rsidR="006C5942" w:rsidRPr="00B604C8" w:rsidSect="005E5C84">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CCA2" w14:textId="77777777" w:rsidR="009A45E8" w:rsidRDefault="009A45E8" w:rsidP="00C65C7C">
      <w:r>
        <w:separator/>
      </w:r>
    </w:p>
  </w:endnote>
  <w:endnote w:type="continuationSeparator" w:id="0">
    <w:p w14:paraId="24DC889D" w14:textId="77777777" w:rsidR="009A45E8" w:rsidRDefault="009A45E8" w:rsidP="00C6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Modern Love">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02829341"/>
      <w:docPartObj>
        <w:docPartGallery w:val="Page Numbers (Bottom of Page)"/>
        <w:docPartUnique/>
      </w:docPartObj>
    </w:sdtPr>
    <w:sdtEndPr>
      <w:rPr>
        <w:rStyle w:val="Seitenzahl"/>
      </w:rPr>
    </w:sdtEndPr>
    <w:sdtContent>
      <w:p w14:paraId="6B82E146" w14:textId="77777777" w:rsidR="00E9404D" w:rsidRDefault="00E9404D" w:rsidP="00AB2E3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7093D55" w14:textId="77777777" w:rsidR="00E9404D" w:rsidRDefault="00E940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F262" w14:textId="77777777" w:rsidR="008716FF" w:rsidRDefault="008716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6463" w14:textId="77777777" w:rsidR="008716FF" w:rsidRDefault="008716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E5DF" w14:textId="77777777" w:rsidR="009A45E8" w:rsidRDefault="009A45E8" w:rsidP="00C65C7C">
      <w:r>
        <w:separator/>
      </w:r>
    </w:p>
  </w:footnote>
  <w:footnote w:type="continuationSeparator" w:id="0">
    <w:p w14:paraId="632F4446" w14:textId="77777777" w:rsidR="009A45E8" w:rsidRDefault="009A45E8" w:rsidP="00C6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5FFC" w14:textId="77777777" w:rsidR="008716FF" w:rsidRDefault="008716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B6A0" w14:textId="77777777" w:rsidR="008716FF" w:rsidRDefault="008716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B232" w14:textId="77777777" w:rsidR="008716FF" w:rsidRDefault="008716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3289"/>
    <w:multiLevelType w:val="multilevel"/>
    <w:tmpl w:val="0084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20779C"/>
    <w:multiLevelType w:val="multilevel"/>
    <w:tmpl w:val="ED2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803B5"/>
    <w:multiLevelType w:val="hybridMultilevel"/>
    <w:tmpl w:val="750858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7C"/>
    <w:rsid w:val="00002C7E"/>
    <w:rsid w:val="00007AC2"/>
    <w:rsid w:val="00014573"/>
    <w:rsid w:val="00042E6F"/>
    <w:rsid w:val="000443DE"/>
    <w:rsid w:val="00065C33"/>
    <w:rsid w:val="000705A1"/>
    <w:rsid w:val="00083F00"/>
    <w:rsid w:val="000870D1"/>
    <w:rsid w:val="000A7F7C"/>
    <w:rsid w:val="000B335A"/>
    <w:rsid w:val="000C664F"/>
    <w:rsid w:val="000D2E17"/>
    <w:rsid w:val="000D3744"/>
    <w:rsid w:val="000D3C00"/>
    <w:rsid w:val="000F41C2"/>
    <w:rsid w:val="00131AEB"/>
    <w:rsid w:val="00145FE5"/>
    <w:rsid w:val="001521CF"/>
    <w:rsid w:val="00152BE2"/>
    <w:rsid w:val="001537E8"/>
    <w:rsid w:val="001647D7"/>
    <w:rsid w:val="00174770"/>
    <w:rsid w:val="0018455B"/>
    <w:rsid w:val="00186CA0"/>
    <w:rsid w:val="00195434"/>
    <w:rsid w:val="001A0E90"/>
    <w:rsid w:val="001C22A0"/>
    <w:rsid w:val="001D3FD6"/>
    <w:rsid w:val="001E1C36"/>
    <w:rsid w:val="001E35D0"/>
    <w:rsid w:val="001E4255"/>
    <w:rsid w:val="001E7FCB"/>
    <w:rsid w:val="00203173"/>
    <w:rsid w:val="00204969"/>
    <w:rsid w:val="00205E34"/>
    <w:rsid w:val="0021375A"/>
    <w:rsid w:val="00266C78"/>
    <w:rsid w:val="002764CD"/>
    <w:rsid w:val="002826A5"/>
    <w:rsid w:val="002902DF"/>
    <w:rsid w:val="00291299"/>
    <w:rsid w:val="002A4F75"/>
    <w:rsid w:val="002B2F92"/>
    <w:rsid w:val="002B637E"/>
    <w:rsid w:val="002C108F"/>
    <w:rsid w:val="002C3174"/>
    <w:rsid w:val="002C7092"/>
    <w:rsid w:val="002D1E8D"/>
    <w:rsid w:val="002D28BA"/>
    <w:rsid w:val="002E08D1"/>
    <w:rsid w:val="002E606A"/>
    <w:rsid w:val="002F182C"/>
    <w:rsid w:val="002F3014"/>
    <w:rsid w:val="002F5912"/>
    <w:rsid w:val="003026A4"/>
    <w:rsid w:val="00334B6A"/>
    <w:rsid w:val="00364294"/>
    <w:rsid w:val="0037147B"/>
    <w:rsid w:val="00372779"/>
    <w:rsid w:val="00377D92"/>
    <w:rsid w:val="003963EB"/>
    <w:rsid w:val="003B0CD7"/>
    <w:rsid w:val="003F3091"/>
    <w:rsid w:val="00404198"/>
    <w:rsid w:val="00416300"/>
    <w:rsid w:val="004224D9"/>
    <w:rsid w:val="00433590"/>
    <w:rsid w:val="00463BFC"/>
    <w:rsid w:val="00483260"/>
    <w:rsid w:val="00491CA3"/>
    <w:rsid w:val="004A3B7D"/>
    <w:rsid w:val="004B28D5"/>
    <w:rsid w:val="004F121E"/>
    <w:rsid w:val="004F74E2"/>
    <w:rsid w:val="004F7D78"/>
    <w:rsid w:val="00506C51"/>
    <w:rsid w:val="005213E0"/>
    <w:rsid w:val="005233C8"/>
    <w:rsid w:val="00542D68"/>
    <w:rsid w:val="005527BA"/>
    <w:rsid w:val="00565A3C"/>
    <w:rsid w:val="00576261"/>
    <w:rsid w:val="0058079B"/>
    <w:rsid w:val="00580E62"/>
    <w:rsid w:val="005948A9"/>
    <w:rsid w:val="00595BED"/>
    <w:rsid w:val="005A4B6A"/>
    <w:rsid w:val="005B1CC1"/>
    <w:rsid w:val="005C07C9"/>
    <w:rsid w:val="005C34D1"/>
    <w:rsid w:val="005C3664"/>
    <w:rsid w:val="005E5642"/>
    <w:rsid w:val="005E5C84"/>
    <w:rsid w:val="005F2351"/>
    <w:rsid w:val="005F4476"/>
    <w:rsid w:val="006141CE"/>
    <w:rsid w:val="0062385E"/>
    <w:rsid w:val="00627D55"/>
    <w:rsid w:val="00632AAC"/>
    <w:rsid w:val="00672652"/>
    <w:rsid w:val="00676A90"/>
    <w:rsid w:val="00681920"/>
    <w:rsid w:val="00682573"/>
    <w:rsid w:val="00694BAE"/>
    <w:rsid w:val="00696B2A"/>
    <w:rsid w:val="006B5E57"/>
    <w:rsid w:val="006C5942"/>
    <w:rsid w:val="006F5F93"/>
    <w:rsid w:val="00711A4F"/>
    <w:rsid w:val="007177BC"/>
    <w:rsid w:val="00724F14"/>
    <w:rsid w:val="00732757"/>
    <w:rsid w:val="0074610A"/>
    <w:rsid w:val="0074623C"/>
    <w:rsid w:val="0074624F"/>
    <w:rsid w:val="00756091"/>
    <w:rsid w:val="00764A4F"/>
    <w:rsid w:val="00764F91"/>
    <w:rsid w:val="00782013"/>
    <w:rsid w:val="0078277F"/>
    <w:rsid w:val="00794015"/>
    <w:rsid w:val="007956BE"/>
    <w:rsid w:val="007A6EBC"/>
    <w:rsid w:val="007B1F9D"/>
    <w:rsid w:val="007C304F"/>
    <w:rsid w:val="007D2E95"/>
    <w:rsid w:val="007D4E61"/>
    <w:rsid w:val="007E3323"/>
    <w:rsid w:val="007E4216"/>
    <w:rsid w:val="007E6ACD"/>
    <w:rsid w:val="007F4F6A"/>
    <w:rsid w:val="0080244B"/>
    <w:rsid w:val="0080342B"/>
    <w:rsid w:val="00803666"/>
    <w:rsid w:val="008051E2"/>
    <w:rsid w:val="008122C0"/>
    <w:rsid w:val="0082622A"/>
    <w:rsid w:val="008278F4"/>
    <w:rsid w:val="0083597F"/>
    <w:rsid w:val="00855A42"/>
    <w:rsid w:val="008716FF"/>
    <w:rsid w:val="00875A5F"/>
    <w:rsid w:val="008A5879"/>
    <w:rsid w:val="008B5631"/>
    <w:rsid w:val="008D142F"/>
    <w:rsid w:val="008D2739"/>
    <w:rsid w:val="008D7652"/>
    <w:rsid w:val="008E207F"/>
    <w:rsid w:val="008F6853"/>
    <w:rsid w:val="00925446"/>
    <w:rsid w:val="00926F92"/>
    <w:rsid w:val="0093016C"/>
    <w:rsid w:val="0093797A"/>
    <w:rsid w:val="00962914"/>
    <w:rsid w:val="0096590F"/>
    <w:rsid w:val="0097167D"/>
    <w:rsid w:val="00972D09"/>
    <w:rsid w:val="00977A20"/>
    <w:rsid w:val="00984FBF"/>
    <w:rsid w:val="009850E4"/>
    <w:rsid w:val="00992CC5"/>
    <w:rsid w:val="009A45E8"/>
    <w:rsid w:val="009B1FA7"/>
    <w:rsid w:val="009E304D"/>
    <w:rsid w:val="009F0F1F"/>
    <w:rsid w:val="00A11C56"/>
    <w:rsid w:val="00A44A48"/>
    <w:rsid w:val="00A44E08"/>
    <w:rsid w:val="00A75F5D"/>
    <w:rsid w:val="00A77D73"/>
    <w:rsid w:val="00A86B93"/>
    <w:rsid w:val="00A93B79"/>
    <w:rsid w:val="00AA1839"/>
    <w:rsid w:val="00AC3744"/>
    <w:rsid w:val="00AE2D4E"/>
    <w:rsid w:val="00AE3F3D"/>
    <w:rsid w:val="00AF0B4D"/>
    <w:rsid w:val="00AF1DD6"/>
    <w:rsid w:val="00B12987"/>
    <w:rsid w:val="00B1667B"/>
    <w:rsid w:val="00B166A8"/>
    <w:rsid w:val="00B33FE8"/>
    <w:rsid w:val="00B36A8F"/>
    <w:rsid w:val="00B50DD3"/>
    <w:rsid w:val="00B604C8"/>
    <w:rsid w:val="00B636F7"/>
    <w:rsid w:val="00B77B11"/>
    <w:rsid w:val="00B80A6A"/>
    <w:rsid w:val="00B95731"/>
    <w:rsid w:val="00BA54E4"/>
    <w:rsid w:val="00BB5217"/>
    <w:rsid w:val="00BD2BDC"/>
    <w:rsid w:val="00BD45B9"/>
    <w:rsid w:val="00BD66F4"/>
    <w:rsid w:val="00BE2015"/>
    <w:rsid w:val="00BE2099"/>
    <w:rsid w:val="00BF0930"/>
    <w:rsid w:val="00BF0B2D"/>
    <w:rsid w:val="00BF42B0"/>
    <w:rsid w:val="00BF53D2"/>
    <w:rsid w:val="00BF7BE0"/>
    <w:rsid w:val="00C10944"/>
    <w:rsid w:val="00C12D33"/>
    <w:rsid w:val="00C26212"/>
    <w:rsid w:val="00C270D7"/>
    <w:rsid w:val="00C31ABD"/>
    <w:rsid w:val="00C34AF6"/>
    <w:rsid w:val="00C60FD0"/>
    <w:rsid w:val="00C65C7C"/>
    <w:rsid w:val="00C65F39"/>
    <w:rsid w:val="00C71C34"/>
    <w:rsid w:val="00C8406F"/>
    <w:rsid w:val="00C9158C"/>
    <w:rsid w:val="00CA05C8"/>
    <w:rsid w:val="00CA21DE"/>
    <w:rsid w:val="00CB15BB"/>
    <w:rsid w:val="00CC1006"/>
    <w:rsid w:val="00CD0533"/>
    <w:rsid w:val="00CD23AA"/>
    <w:rsid w:val="00CD610E"/>
    <w:rsid w:val="00CD632D"/>
    <w:rsid w:val="00CE029C"/>
    <w:rsid w:val="00CE1432"/>
    <w:rsid w:val="00CF015D"/>
    <w:rsid w:val="00CF02E8"/>
    <w:rsid w:val="00CF04DC"/>
    <w:rsid w:val="00CF06EF"/>
    <w:rsid w:val="00CF3FDE"/>
    <w:rsid w:val="00D0611C"/>
    <w:rsid w:val="00D166EF"/>
    <w:rsid w:val="00D26226"/>
    <w:rsid w:val="00D36DB4"/>
    <w:rsid w:val="00D50813"/>
    <w:rsid w:val="00DA7365"/>
    <w:rsid w:val="00DB4525"/>
    <w:rsid w:val="00DD212D"/>
    <w:rsid w:val="00DD51AC"/>
    <w:rsid w:val="00DD74F8"/>
    <w:rsid w:val="00DD7B29"/>
    <w:rsid w:val="00DE129A"/>
    <w:rsid w:val="00DE1F31"/>
    <w:rsid w:val="00DE52DE"/>
    <w:rsid w:val="00DE789A"/>
    <w:rsid w:val="00DF1639"/>
    <w:rsid w:val="00DF31D6"/>
    <w:rsid w:val="00E05C21"/>
    <w:rsid w:val="00E06503"/>
    <w:rsid w:val="00E10BF1"/>
    <w:rsid w:val="00E1316E"/>
    <w:rsid w:val="00E338BE"/>
    <w:rsid w:val="00E4262A"/>
    <w:rsid w:val="00E5042D"/>
    <w:rsid w:val="00E62118"/>
    <w:rsid w:val="00E62CC7"/>
    <w:rsid w:val="00E70CF8"/>
    <w:rsid w:val="00E74B19"/>
    <w:rsid w:val="00E9333B"/>
    <w:rsid w:val="00E9404D"/>
    <w:rsid w:val="00E95EC3"/>
    <w:rsid w:val="00E964E2"/>
    <w:rsid w:val="00EA08D7"/>
    <w:rsid w:val="00EB1AFF"/>
    <w:rsid w:val="00EB2C00"/>
    <w:rsid w:val="00EB6896"/>
    <w:rsid w:val="00EC0E5C"/>
    <w:rsid w:val="00ED3FB2"/>
    <w:rsid w:val="00EF69C4"/>
    <w:rsid w:val="00F01699"/>
    <w:rsid w:val="00F01A55"/>
    <w:rsid w:val="00F620EA"/>
    <w:rsid w:val="00F64C8B"/>
    <w:rsid w:val="00F7452C"/>
    <w:rsid w:val="00FB43DD"/>
    <w:rsid w:val="00FC16D6"/>
    <w:rsid w:val="00FC4C81"/>
    <w:rsid w:val="00FC6BE0"/>
    <w:rsid w:val="00FC6E16"/>
    <w:rsid w:val="00FD71A1"/>
    <w:rsid w:val="00FD7EF7"/>
    <w:rsid w:val="00FF0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3E19"/>
  <w15:chartTrackingRefBased/>
  <w15:docId w15:val="{1D9F5813-8E82-8948-9F0A-16C10DF5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0F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764CD"/>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5C7C"/>
    <w:pPr>
      <w:ind w:left="720"/>
      <w:contextualSpacing/>
    </w:pPr>
  </w:style>
  <w:style w:type="paragraph" w:styleId="Kopfzeile">
    <w:name w:val="header"/>
    <w:basedOn w:val="Standard"/>
    <w:link w:val="KopfzeileZchn"/>
    <w:uiPriority w:val="99"/>
    <w:unhideWhenUsed/>
    <w:rsid w:val="00C65C7C"/>
    <w:pPr>
      <w:tabs>
        <w:tab w:val="center" w:pos="4536"/>
        <w:tab w:val="right" w:pos="9072"/>
      </w:tabs>
    </w:pPr>
  </w:style>
  <w:style w:type="character" w:customStyle="1" w:styleId="KopfzeileZchn">
    <w:name w:val="Kopfzeile Zchn"/>
    <w:basedOn w:val="Absatz-Standardschriftart"/>
    <w:link w:val="Kopfzeile"/>
    <w:uiPriority w:val="99"/>
    <w:rsid w:val="00C65C7C"/>
  </w:style>
  <w:style w:type="paragraph" w:styleId="Fuzeile">
    <w:name w:val="footer"/>
    <w:basedOn w:val="Standard"/>
    <w:link w:val="FuzeileZchn"/>
    <w:uiPriority w:val="99"/>
    <w:unhideWhenUsed/>
    <w:rsid w:val="00C65C7C"/>
    <w:pPr>
      <w:tabs>
        <w:tab w:val="center" w:pos="4536"/>
        <w:tab w:val="right" w:pos="9072"/>
      </w:tabs>
    </w:pPr>
  </w:style>
  <w:style w:type="character" w:customStyle="1" w:styleId="FuzeileZchn">
    <w:name w:val="Fußzeile Zchn"/>
    <w:basedOn w:val="Absatz-Standardschriftart"/>
    <w:link w:val="Fuzeile"/>
    <w:uiPriority w:val="99"/>
    <w:rsid w:val="00C65C7C"/>
  </w:style>
  <w:style w:type="character" w:styleId="Seitenzahl">
    <w:name w:val="page number"/>
    <w:basedOn w:val="Absatz-Standardschriftart"/>
    <w:uiPriority w:val="99"/>
    <w:semiHidden/>
    <w:unhideWhenUsed/>
    <w:rsid w:val="00E9404D"/>
  </w:style>
  <w:style w:type="character" w:styleId="Hyperlink">
    <w:name w:val="Hyperlink"/>
    <w:basedOn w:val="Absatz-Standardschriftart"/>
    <w:uiPriority w:val="99"/>
    <w:unhideWhenUsed/>
    <w:rsid w:val="005948A9"/>
    <w:rPr>
      <w:color w:val="0563C1" w:themeColor="hyperlink"/>
      <w:u w:val="single"/>
    </w:rPr>
  </w:style>
  <w:style w:type="character" w:styleId="NichtaufgelsteErwhnung">
    <w:name w:val="Unresolved Mention"/>
    <w:basedOn w:val="Absatz-Standardschriftart"/>
    <w:uiPriority w:val="99"/>
    <w:semiHidden/>
    <w:unhideWhenUsed/>
    <w:rsid w:val="005948A9"/>
    <w:rPr>
      <w:color w:val="605E5C"/>
      <w:shd w:val="clear" w:color="auto" w:fill="E1DFDD"/>
    </w:rPr>
  </w:style>
  <w:style w:type="character" w:customStyle="1" w:styleId="berschrift1Zchn">
    <w:name w:val="Überschrift 1 Zchn"/>
    <w:basedOn w:val="Absatz-Standardschriftart"/>
    <w:link w:val="berschrift1"/>
    <w:uiPriority w:val="9"/>
    <w:rsid w:val="00C60FD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764CD"/>
    <w:rPr>
      <w:rFonts w:asciiTheme="majorHAnsi" w:eastAsiaTheme="majorEastAsia" w:hAnsiTheme="majorHAnsi" w:cstheme="majorBidi"/>
      <w:color w:val="1F3763" w:themeColor="accent1" w:themeShade="7F"/>
    </w:rPr>
  </w:style>
  <w:style w:type="paragraph" w:styleId="berarbeitung">
    <w:name w:val="Revision"/>
    <w:hidden/>
    <w:uiPriority w:val="99"/>
    <w:semiHidden/>
    <w:rsid w:val="000443DE"/>
  </w:style>
  <w:style w:type="paragraph" w:styleId="StandardWeb">
    <w:name w:val="Normal (Web)"/>
    <w:basedOn w:val="Standard"/>
    <w:uiPriority w:val="99"/>
    <w:semiHidden/>
    <w:unhideWhenUsed/>
    <w:rsid w:val="0080244B"/>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835">
      <w:bodyDiv w:val="1"/>
      <w:marLeft w:val="0"/>
      <w:marRight w:val="0"/>
      <w:marTop w:val="0"/>
      <w:marBottom w:val="0"/>
      <w:divBdr>
        <w:top w:val="none" w:sz="0" w:space="0" w:color="auto"/>
        <w:left w:val="none" w:sz="0" w:space="0" w:color="auto"/>
        <w:bottom w:val="none" w:sz="0" w:space="0" w:color="auto"/>
        <w:right w:val="none" w:sz="0" w:space="0" w:color="auto"/>
      </w:divBdr>
    </w:div>
    <w:div w:id="217665971">
      <w:bodyDiv w:val="1"/>
      <w:marLeft w:val="0"/>
      <w:marRight w:val="0"/>
      <w:marTop w:val="0"/>
      <w:marBottom w:val="0"/>
      <w:divBdr>
        <w:top w:val="none" w:sz="0" w:space="0" w:color="auto"/>
        <w:left w:val="none" w:sz="0" w:space="0" w:color="auto"/>
        <w:bottom w:val="none" w:sz="0" w:space="0" w:color="auto"/>
        <w:right w:val="none" w:sz="0" w:space="0" w:color="auto"/>
      </w:divBdr>
    </w:div>
    <w:div w:id="385297044">
      <w:bodyDiv w:val="1"/>
      <w:marLeft w:val="0"/>
      <w:marRight w:val="0"/>
      <w:marTop w:val="0"/>
      <w:marBottom w:val="0"/>
      <w:divBdr>
        <w:top w:val="none" w:sz="0" w:space="0" w:color="auto"/>
        <w:left w:val="none" w:sz="0" w:space="0" w:color="auto"/>
        <w:bottom w:val="none" w:sz="0" w:space="0" w:color="auto"/>
        <w:right w:val="none" w:sz="0" w:space="0" w:color="auto"/>
      </w:divBdr>
      <w:divsChild>
        <w:div w:id="1502232574">
          <w:marLeft w:val="0"/>
          <w:marRight w:val="0"/>
          <w:marTop w:val="0"/>
          <w:marBottom w:val="0"/>
          <w:divBdr>
            <w:top w:val="none" w:sz="0" w:space="0" w:color="auto"/>
            <w:left w:val="none" w:sz="0" w:space="0" w:color="auto"/>
            <w:bottom w:val="none" w:sz="0" w:space="0" w:color="auto"/>
            <w:right w:val="none" w:sz="0" w:space="0" w:color="auto"/>
          </w:divBdr>
        </w:div>
      </w:divsChild>
    </w:div>
    <w:div w:id="825241895">
      <w:bodyDiv w:val="1"/>
      <w:marLeft w:val="0"/>
      <w:marRight w:val="0"/>
      <w:marTop w:val="0"/>
      <w:marBottom w:val="0"/>
      <w:divBdr>
        <w:top w:val="none" w:sz="0" w:space="0" w:color="auto"/>
        <w:left w:val="none" w:sz="0" w:space="0" w:color="auto"/>
        <w:bottom w:val="none" w:sz="0" w:space="0" w:color="auto"/>
        <w:right w:val="none" w:sz="0" w:space="0" w:color="auto"/>
      </w:divBdr>
    </w:div>
    <w:div w:id="913248060">
      <w:bodyDiv w:val="1"/>
      <w:marLeft w:val="0"/>
      <w:marRight w:val="0"/>
      <w:marTop w:val="0"/>
      <w:marBottom w:val="0"/>
      <w:divBdr>
        <w:top w:val="none" w:sz="0" w:space="0" w:color="auto"/>
        <w:left w:val="none" w:sz="0" w:space="0" w:color="auto"/>
        <w:bottom w:val="none" w:sz="0" w:space="0" w:color="auto"/>
        <w:right w:val="none" w:sz="0" w:space="0" w:color="auto"/>
      </w:divBdr>
    </w:div>
    <w:div w:id="1134903922">
      <w:bodyDiv w:val="1"/>
      <w:marLeft w:val="0"/>
      <w:marRight w:val="0"/>
      <w:marTop w:val="0"/>
      <w:marBottom w:val="0"/>
      <w:divBdr>
        <w:top w:val="none" w:sz="0" w:space="0" w:color="auto"/>
        <w:left w:val="none" w:sz="0" w:space="0" w:color="auto"/>
        <w:bottom w:val="none" w:sz="0" w:space="0" w:color="auto"/>
        <w:right w:val="none" w:sz="0" w:space="0" w:color="auto"/>
      </w:divBdr>
    </w:div>
    <w:div w:id="1615284913">
      <w:bodyDiv w:val="1"/>
      <w:marLeft w:val="0"/>
      <w:marRight w:val="0"/>
      <w:marTop w:val="0"/>
      <w:marBottom w:val="0"/>
      <w:divBdr>
        <w:top w:val="none" w:sz="0" w:space="0" w:color="auto"/>
        <w:left w:val="none" w:sz="0" w:space="0" w:color="auto"/>
        <w:bottom w:val="none" w:sz="0" w:space="0" w:color="auto"/>
        <w:right w:val="none" w:sz="0" w:space="0" w:color="auto"/>
      </w:divBdr>
    </w:div>
    <w:div w:id="1616251915">
      <w:bodyDiv w:val="1"/>
      <w:marLeft w:val="0"/>
      <w:marRight w:val="0"/>
      <w:marTop w:val="0"/>
      <w:marBottom w:val="0"/>
      <w:divBdr>
        <w:top w:val="none" w:sz="0" w:space="0" w:color="auto"/>
        <w:left w:val="none" w:sz="0" w:space="0" w:color="auto"/>
        <w:bottom w:val="none" w:sz="0" w:space="0" w:color="auto"/>
        <w:right w:val="none" w:sz="0" w:space="0" w:color="auto"/>
      </w:divBdr>
    </w:div>
    <w:div w:id="1858883362">
      <w:bodyDiv w:val="1"/>
      <w:marLeft w:val="0"/>
      <w:marRight w:val="0"/>
      <w:marTop w:val="0"/>
      <w:marBottom w:val="0"/>
      <w:divBdr>
        <w:top w:val="none" w:sz="0" w:space="0" w:color="auto"/>
        <w:left w:val="none" w:sz="0" w:space="0" w:color="auto"/>
        <w:bottom w:val="none" w:sz="0" w:space="0" w:color="auto"/>
        <w:right w:val="none" w:sz="0" w:space="0" w:color="auto"/>
      </w:divBdr>
    </w:div>
    <w:div w:id="2140605150">
      <w:bodyDiv w:val="1"/>
      <w:marLeft w:val="0"/>
      <w:marRight w:val="0"/>
      <w:marTop w:val="0"/>
      <w:marBottom w:val="0"/>
      <w:divBdr>
        <w:top w:val="none" w:sz="0" w:space="0" w:color="auto"/>
        <w:left w:val="none" w:sz="0" w:space="0" w:color="auto"/>
        <w:bottom w:val="none" w:sz="0" w:space="0" w:color="auto"/>
        <w:right w:val="none" w:sz="0" w:space="0" w:color="auto"/>
      </w:divBdr>
      <w:divsChild>
        <w:div w:id="1750077608">
          <w:marLeft w:val="0"/>
          <w:marRight w:val="0"/>
          <w:marTop w:val="0"/>
          <w:marBottom w:val="0"/>
          <w:divBdr>
            <w:top w:val="none" w:sz="0" w:space="0" w:color="auto"/>
            <w:left w:val="none" w:sz="0" w:space="0" w:color="auto"/>
            <w:bottom w:val="none" w:sz="0" w:space="0" w:color="auto"/>
            <w:right w:val="none" w:sz="0" w:space="0" w:color="auto"/>
          </w:divBdr>
          <w:divsChild>
            <w:div w:id="1506633751">
              <w:marLeft w:val="0"/>
              <w:marRight w:val="0"/>
              <w:marTop w:val="0"/>
              <w:marBottom w:val="0"/>
              <w:divBdr>
                <w:top w:val="none" w:sz="0" w:space="0" w:color="auto"/>
                <w:left w:val="none" w:sz="0" w:space="0" w:color="auto"/>
                <w:bottom w:val="none" w:sz="0" w:space="0" w:color="auto"/>
                <w:right w:val="none" w:sz="0" w:space="0" w:color="auto"/>
              </w:divBdr>
              <w:divsChild>
                <w:div w:id="532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6380-CB8C-A447-A47C-8BC847AF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2930</Characters>
  <Application>Microsoft Office Word</Application>
  <DocSecurity>0</DocSecurity>
  <Lines>44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Thome</dc:creator>
  <cp:keywords/>
  <dc:description/>
  <cp:lastModifiedBy>Mustafa Temmuz Oglakcioglu</cp:lastModifiedBy>
  <cp:revision>11</cp:revision>
  <dcterms:created xsi:type="dcterms:W3CDTF">2025-03-04T13:41:00Z</dcterms:created>
  <dcterms:modified xsi:type="dcterms:W3CDTF">2025-03-08T18:14:00Z</dcterms:modified>
</cp:coreProperties>
</file>